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A4B0" w14:textId="77777777" w:rsidR="005715B7" w:rsidRPr="005715B7" w:rsidRDefault="005715B7" w:rsidP="005715B7">
      <w:pPr>
        <w:jc w:val="center"/>
        <w:rPr>
          <w:rFonts w:eastAsia="Calibri"/>
          <w:b/>
          <w:color w:val="151515"/>
          <w:sz w:val="32"/>
          <w:szCs w:val="32"/>
          <w:highlight w:val="white"/>
        </w:rPr>
      </w:pPr>
    </w:p>
    <w:p w14:paraId="00000001" w14:textId="375C8F56" w:rsidR="003A1DB2" w:rsidRPr="005715B7" w:rsidRDefault="00000000" w:rsidP="005715B7">
      <w:pPr>
        <w:jc w:val="center"/>
        <w:rPr>
          <w:rFonts w:eastAsia="Calibri"/>
          <w:b/>
          <w:color w:val="151515"/>
          <w:sz w:val="32"/>
          <w:szCs w:val="32"/>
          <w:highlight w:val="white"/>
        </w:rPr>
      </w:pPr>
      <w:r w:rsidRPr="005715B7">
        <w:rPr>
          <w:rFonts w:eastAsia="Calibri"/>
          <w:b/>
          <w:color w:val="151515"/>
          <w:sz w:val="32"/>
          <w:szCs w:val="32"/>
          <w:highlight w:val="white"/>
        </w:rPr>
        <w:t>Dyrektywa MCP – jakie kary grożą Twojej firmie?</w:t>
      </w:r>
    </w:p>
    <w:p w14:paraId="00000002" w14:textId="77777777" w:rsidR="003A1DB2" w:rsidRPr="005715B7" w:rsidRDefault="003A1DB2">
      <w:pPr>
        <w:jc w:val="both"/>
        <w:rPr>
          <w:rFonts w:eastAsia="Calibri"/>
          <w:color w:val="151515"/>
          <w:sz w:val="24"/>
          <w:szCs w:val="24"/>
          <w:highlight w:val="white"/>
        </w:rPr>
      </w:pPr>
    </w:p>
    <w:p w14:paraId="00000003" w14:textId="77777777" w:rsidR="003A1DB2" w:rsidRPr="00B5790D" w:rsidRDefault="00000000">
      <w:pPr>
        <w:jc w:val="both"/>
        <w:rPr>
          <w:rFonts w:eastAsia="Calibri"/>
          <w:b/>
          <w:bCs/>
          <w:color w:val="151515"/>
          <w:highlight w:val="white"/>
        </w:rPr>
      </w:pPr>
      <w:bookmarkStart w:id="0" w:name="_heading=h.gjdgxs" w:colFirst="0" w:colLast="0"/>
      <w:bookmarkEnd w:id="0"/>
      <w:r w:rsidRPr="00B5790D">
        <w:rPr>
          <w:rFonts w:eastAsia="Calibri"/>
          <w:b/>
          <w:bCs/>
          <w:color w:val="151515"/>
          <w:highlight w:val="white"/>
        </w:rPr>
        <w:t xml:space="preserve">O ile całkowicie zeroemisyjna gospodarka UE wydaje się jeszcze pieśnią przyszłości, o tyle dyrektywa MCP </w:t>
      </w:r>
      <w:r w:rsidRPr="00B5790D">
        <w:rPr>
          <w:rFonts w:eastAsia="Calibri"/>
          <w:b/>
          <w:bCs/>
        </w:rPr>
        <w:t xml:space="preserve">(ang. </w:t>
      </w:r>
      <w:r w:rsidRPr="00B5790D">
        <w:rPr>
          <w:rFonts w:eastAsia="Calibri"/>
          <w:b/>
          <w:bCs/>
          <w:i/>
        </w:rPr>
        <w:t xml:space="preserve">Medium </w:t>
      </w:r>
      <w:proofErr w:type="spellStart"/>
      <w:r w:rsidRPr="00B5790D">
        <w:rPr>
          <w:rFonts w:eastAsia="Calibri"/>
          <w:b/>
          <w:bCs/>
          <w:i/>
        </w:rPr>
        <w:t>Combustion</w:t>
      </w:r>
      <w:proofErr w:type="spellEnd"/>
      <w:r w:rsidRPr="00B5790D">
        <w:rPr>
          <w:rFonts w:eastAsia="Calibri"/>
          <w:b/>
          <w:bCs/>
          <w:i/>
        </w:rPr>
        <w:t xml:space="preserve"> </w:t>
      </w:r>
      <w:proofErr w:type="spellStart"/>
      <w:r w:rsidRPr="00B5790D">
        <w:rPr>
          <w:rFonts w:eastAsia="Calibri"/>
          <w:b/>
          <w:bCs/>
          <w:i/>
        </w:rPr>
        <w:t>Plants</w:t>
      </w:r>
      <w:proofErr w:type="spellEnd"/>
      <w:r w:rsidRPr="00B5790D">
        <w:rPr>
          <w:rFonts w:eastAsia="Calibri"/>
          <w:b/>
          <w:bCs/>
        </w:rPr>
        <w:t xml:space="preserve"> – średnie obiekty energetycznego spalania)</w:t>
      </w:r>
      <w:r w:rsidRPr="00B5790D">
        <w:rPr>
          <w:rFonts w:eastAsia="Calibri"/>
          <w:b/>
          <w:bCs/>
          <w:color w:val="151515"/>
          <w:highlight w:val="white"/>
        </w:rPr>
        <w:t xml:space="preserve"> bardzo szybko i realnie uderzy w cały przemysł. Pierwszy ważny deadline mija za 1,5 roku – 1 stycznia 2025 r. wejdą w życie nowe standardy emisyjne dla średnich obiektów energetycznego spalania o mocy większej niż 5 MW. Czy zderzenie z unijnymi regulacjami będzie szokiem? Ile ryzykują spóźnialscy? Których terminów lepiej nie przegapić?</w:t>
      </w:r>
    </w:p>
    <w:p w14:paraId="00000004" w14:textId="77777777" w:rsidR="003A1DB2" w:rsidRPr="005715B7" w:rsidRDefault="003A1DB2">
      <w:pPr>
        <w:jc w:val="both"/>
        <w:rPr>
          <w:rFonts w:eastAsia="Calibri"/>
          <w:color w:val="151515"/>
          <w:highlight w:val="white"/>
        </w:rPr>
      </w:pPr>
    </w:p>
    <w:p w14:paraId="00000005" w14:textId="77777777" w:rsidR="003A1DB2" w:rsidRPr="005715B7" w:rsidRDefault="00000000">
      <w:pPr>
        <w:jc w:val="both"/>
        <w:rPr>
          <w:rFonts w:eastAsia="Calibri"/>
          <w:b/>
          <w:color w:val="151515"/>
          <w:highlight w:val="white"/>
        </w:rPr>
      </w:pPr>
      <w:r w:rsidRPr="005715B7">
        <w:rPr>
          <w:rFonts w:eastAsia="Calibri"/>
          <w:b/>
          <w:color w:val="151515"/>
          <w:highlight w:val="white"/>
        </w:rPr>
        <w:t>Kary (nie) do przewidzenia</w:t>
      </w:r>
    </w:p>
    <w:p w14:paraId="00000006" w14:textId="77777777" w:rsidR="003A1DB2" w:rsidRPr="005715B7" w:rsidRDefault="003A1DB2">
      <w:pPr>
        <w:jc w:val="both"/>
        <w:rPr>
          <w:rFonts w:eastAsia="Calibri"/>
          <w:color w:val="151515"/>
          <w:highlight w:val="white"/>
        </w:rPr>
      </w:pPr>
    </w:p>
    <w:p w14:paraId="00000007" w14:textId="77777777" w:rsidR="003A1DB2" w:rsidRPr="005715B7" w:rsidRDefault="00000000">
      <w:pPr>
        <w:jc w:val="both"/>
        <w:rPr>
          <w:rFonts w:eastAsia="Calibri"/>
        </w:rPr>
      </w:pPr>
      <w:r w:rsidRPr="005715B7">
        <w:rPr>
          <w:rFonts w:eastAsia="Calibri"/>
        </w:rPr>
        <w:t>W Polsce kary, po dokładnej kontroli, nakłada Wojewódzki Inspektor Ochrony Środowiska.</w:t>
      </w:r>
    </w:p>
    <w:p w14:paraId="00000008" w14:textId="77777777" w:rsidR="003A1DB2" w:rsidRPr="005715B7" w:rsidRDefault="003A1DB2">
      <w:pPr>
        <w:jc w:val="both"/>
        <w:rPr>
          <w:rFonts w:eastAsia="Calibri"/>
        </w:rPr>
      </w:pPr>
    </w:p>
    <w:p w14:paraId="00000009" w14:textId="00289AB9" w:rsidR="003A1DB2" w:rsidRPr="005715B7" w:rsidRDefault="00000000">
      <w:pPr>
        <w:jc w:val="both"/>
        <w:rPr>
          <w:rFonts w:eastAsia="Calibri"/>
          <w:highlight w:val="white"/>
        </w:rPr>
      </w:pPr>
      <w:r w:rsidRPr="005715B7">
        <w:rPr>
          <w:rFonts w:eastAsia="Calibri"/>
        </w:rPr>
        <w:t>–</w:t>
      </w:r>
      <w:r w:rsidRPr="005715B7">
        <w:rPr>
          <w:rFonts w:eastAsia="Calibri"/>
          <w:i/>
        </w:rPr>
        <w:t xml:space="preserve"> Możemy je ogólnie podzielić na dwa typy – biegnąca kara finansowa uzależniona od ilości określonych substancji wyemitowanych do atmosfery lub konieczność zamknięcia instalacji. W tym roku stawki za emisje gazów i pyłów do powietrza są wyższe niż w 2022 roku. Wzrosły one nieznacznie, średnio o 5,2%. </w:t>
      </w:r>
      <w:r w:rsidR="005715B7" w:rsidRPr="005715B7">
        <w:rPr>
          <w:rFonts w:eastAsia="Calibri"/>
          <w:i/>
        </w:rPr>
        <w:t xml:space="preserve">Dyrektywa MCP wymierzona jest w emisje 3 rodzajów zanieczyszczeń powietrza: </w:t>
      </w:r>
      <w:r w:rsidRPr="005715B7">
        <w:rPr>
          <w:rFonts w:eastAsia="Calibri"/>
        </w:rPr>
        <w:t xml:space="preserve">dwutlenku siarki, tlenków azotu, pyłów. W 2023 r. stawki wyglądają następująco: za </w:t>
      </w:r>
      <w:r w:rsidRPr="005715B7">
        <w:rPr>
          <w:rFonts w:eastAsia="Calibri"/>
          <w:i/>
          <w:shd w:val="clear" w:color="auto" w:fill="F8F9FD"/>
        </w:rPr>
        <w:t xml:space="preserve"> </w:t>
      </w:r>
      <w:r w:rsidRPr="005715B7">
        <w:rPr>
          <w:rFonts w:eastAsia="Calibri"/>
          <w:i/>
        </w:rPr>
        <w:t>SO</w:t>
      </w:r>
      <w:r w:rsidRPr="005715B7">
        <w:rPr>
          <w:rFonts w:eastAsia="Calibri"/>
          <w:i/>
          <w:vertAlign w:val="subscript"/>
        </w:rPr>
        <w:t>2</w:t>
      </w:r>
      <w:r w:rsidRPr="005715B7">
        <w:rPr>
          <w:rFonts w:eastAsia="Calibri"/>
          <w:i/>
        </w:rPr>
        <w:t xml:space="preserve"> i </w:t>
      </w:r>
      <w:proofErr w:type="spellStart"/>
      <w:r w:rsidRPr="005715B7">
        <w:rPr>
          <w:rFonts w:eastAsia="Calibri"/>
          <w:i/>
        </w:rPr>
        <w:t>NOx</w:t>
      </w:r>
      <w:proofErr w:type="spellEnd"/>
      <w:r w:rsidRPr="005715B7">
        <w:rPr>
          <w:rFonts w:eastAsia="Calibri"/>
          <w:i/>
        </w:rPr>
        <w:t xml:space="preserve"> zapłacimy 0,61 zł/kg (w zeszłym roku było to 0,58 zł), a za pyły ze spalania paliw 0,41 zł/kg (w zeszłym roku stawka wynosiła 0,39 zł). </w:t>
      </w:r>
      <w:r w:rsidRPr="005715B7">
        <w:rPr>
          <w:rFonts w:eastAsia="Calibri"/>
          <w:i/>
          <w:highlight w:val="white"/>
        </w:rPr>
        <w:t xml:space="preserve">Podstawę stawek stanowią dwa dokumenty </w:t>
      </w:r>
      <w:r w:rsidRPr="005715B7">
        <w:rPr>
          <w:rFonts w:eastAsia="Calibri"/>
          <w:i/>
        </w:rPr>
        <w:t xml:space="preserve">– </w:t>
      </w:r>
      <w:r w:rsidRPr="005715B7">
        <w:rPr>
          <w:rFonts w:eastAsia="Calibri"/>
          <w:i/>
          <w:highlight w:val="white"/>
        </w:rPr>
        <w:t>Obwieszczenie Ministra Klimatu i Środowiska z dnia 7 października 2022 r. i Rozporządzenie Rady Ministrów z dnia 22 grudnia 2017 r.</w:t>
      </w:r>
      <w:r w:rsidRPr="005715B7">
        <w:rPr>
          <w:rFonts w:eastAsia="Calibri"/>
          <w:i/>
        </w:rPr>
        <w:t xml:space="preserve"> </w:t>
      </w:r>
      <w:r w:rsidRPr="005715B7">
        <w:rPr>
          <w:rFonts w:eastAsia="Calibri"/>
        </w:rPr>
        <w:t xml:space="preserve">– informuje Łukasz Byczkowski, </w:t>
      </w:r>
      <w:r w:rsidRPr="005715B7">
        <w:rPr>
          <w:rFonts w:eastAsia="Calibri"/>
          <w:highlight w:val="white"/>
        </w:rPr>
        <w:t>dyrektor sprzedaży i marketingu w grupie DUON.</w:t>
      </w:r>
    </w:p>
    <w:p w14:paraId="0000000A" w14:textId="77777777" w:rsidR="003A1DB2" w:rsidRPr="005715B7" w:rsidRDefault="003A1DB2">
      <w:pPr>
        <w:jc w:val="both"/>
        <w:rPr>
          <w:rFonts w:eastAsia="Calibri"/>
          <w:highlight w:val="white"/>
        </w:rPr>
      </w:pPr>
    </w:p>
    <w:p w14:paraId="0000000B" w14:textId="77777777" w:rsidR="003A1DB2" w:rsidRPr="005715B7" w:rsidRDefault="00000000">
      <w:pPr>
        <w:jc w:val="both"/>
        <w:rPr>
          <w:rFonts w:eastAsia="Calibri"/>
        </w:rPr>
      </w:pPr>
      <w:r w:rsidRPr="005715B7">
        <w:rPr>
          <w:rFonts w:eastAsia="Calibri"/>
          <w:highlight w:val="white"/>
        </w:rPr>
        <w:t>Wyliczenie</w:t>
      </w:r>
      <w:r w:rsidRPr="005715B7">
        <w:rPr>
          <w:rFonts w:eastAsia="Calibri"/>
        </w:rPr>
        <w:t xml:space="preserve"> wysokości opłat nie jest jednak takie proste. – </w:t>
      </w:r>
      <w:r w:rsidRPr="005715B7">
        <w:rPr>
          <w:rFonts w:eastAsia="Calibri"/>
          <w:i/>
        </w:rPr>
        <w:t xml:space="preserve">Na ustalenie wymiaru kary biegnącej wypływa </w:t>
      </w:r>
      <w:r w:rsidRPr="005715B7">
        <w:rPr>
          <w:rFonts w:eastAsia="Calibri"/>
          <w:b/>
          <w:i/>
        </w:rPr>
        <w:t>kilka bardzo specyficznych czynników</w:t>
      </w:r>
      <w:r w:rsidRPr="005715B7">
        <w:rPr>
          <w:rFonts w:eastAsia="Calibri"/>
          <w:i/>
        </w:rPr>
        <w:t>, m.in. wielkość stwierdzonego naruszenia w skali doby albo godziny oraz termin (dzień lub pełna godzina), od którego kara biegnąca będzie naliczana. Co ważne, inspektor może naliczyć karę wstecz. Wystarczy, że będzie miał obiektywną podstawę, aby ustalić poziomy emisji, o co wcale nie jest tak trudno, jeśli dysponuje np. specyfikacją techniczną instalacji czy informacją o intensywności eksploatacji. Ostateczna kwota do zapłaty bywa więc piorunująca, ponieważ kary wynoszą 20-krotność jednostkowej stawki</w:t>
      </w:r>
      <w:r w:rsidRPr="005715B7">
        <w:rPr>
          <w:rFonts w:eastAsia="Calibri"/>
        </w:rPr>
        <w:t xml:space="preserve"> – ostrzega Łukasz Byczkowski.</w:t>
      </w:r>
    </w:p>
    <w:p w14:paraId="0000000C" w14:textId="77777777" w:rsidR="003A1DB2" w:rsidRPr="005715B7" w:rsidRDefault="003A1DB2">
      <w:pPr>
        <w:ind w:left="2160"/>
        <w:jc w:val="both"/>
        <w:rPr>
          <w:rFonts w:eastAsia="Calibri"/>
        </w:rPr>
      </w:pPr>
    </w:p>
    <w:p w14:paraId="0000000D" w14:textId="77777777" w:rsidR="003A1DB2" w:rsidRPr="005715B7" w:rsidRDefault="00000000">
      <w:pPr>
        <w:jc w:val="both"/>
        <w:rPr>
          <w:rFonts w:eastAsia="Calibri"/>
          <w:b/>
          <w:color w:val="151515"/>
          <w:highlight w:val="white"/>
        </w:rPr>
      </w:pPr>
      <w:r w:rsidRPr="005715B7">
        <w:rPr>
          <w:rFonts w:eastAsia="Calibri"/>
          <w:b/>
          <w:color w:val="151515"/>
          <w:highlight w:val="white"/>
        </w:rPr>
        <w:t>Terminy – trzymaj rękę na pulsie</w:t>
      </w:r>
    </w:p>
    <w:p w14:paraId="0000000E" w14:textId="77777777" w:rsidR="003A1DB2" w:rsidRPr="005715B7" w:rsidRDefault="003A1DB2">
      <w:pPr>
        <w:jc w:val="both"/>
        <w:rPr>
          <w:rFonts w:eastAsia="Calibri"/>
          <w:color w:val="151515"/>
          <w:highlight w:val="white"/>
        </w:rPr>
      </w:pPr>
    </w:p>
    <w:p w14:paraId="0000000F" w14:textId="77777777" w:rsidR="003A1DB2" w:rsidRPr="005715B7" w:rsidRDefault="00000000">
      <w:pPr>
        <w:jc w:val="both"/>
        <w:rPr>
          <w:rFonts w:eastAsia="Calibri"/>
          <w:color w:val="151515"/>
          <w:highlight w:val="white"/>
        </w:rPr>
      </w:pPr>
      <w:r w:rsidRPr="005715B7">
        <w:rPr>
          <w:rFonts w:eastAsia="Calibri"/>
          <w:color w:val="151515"/>
          <w:highlight w:val="white"/>
        </w:rPr>
        <w:t>Jak wspomnieliśmy,</w:t>
      </w:r>
      <w:r w:rsidRPr="005715B7">
        <w:rPr>
          <w:rFonts w:eastAsia="Calibri"/>
          <w:b/>
          <w:color w:val="151515"/>
          <w:highlight w:val="white"/>
        </w:rPr>
        <w:t xml:space="preserve"> </w:t>
      </w:r>
      <w:r w:rsidRPr="005715B7">
        <w:rPr>
          <w:rFonts w:eastAsia="Calibri"/>
          <w:color w:val="151515"/>
          <w:highlight w:val="white"/>
        </w:rPr>
        <w:t>instalacje o mocy większej niż 5 MW powinny dostosować się do nowych standardów emisyjnych do</w:t>
      </w:r>
      <w:r w:rsidRPr="005715B7">
        <w:rPr>
          <w:rFonts w:eastAsia="Calibri"/>
          <w:b/>
          <w:color w:val="151515"/>
          <w:highlight w:val="white"/>
        </w:rPr>
        <w:t xml:space="preserve"> 1 stycznia 2025 r. </w:t>
      </w:r>
      <w:r w:rsidRPr="005715B7">
        <w:rPr>
          <w:rFonts w:eastAsia="Calibri"/>
          <w:color w:val="151515"/>
          <w:highlight w:val="white"/>
        </w:rPr>
        <w:t>Trochę więcej czasu zyskały instalacje o mocy do 5 MW – dla nich termin mija</w:t>
      </w:r>
      <w:r w:rsidRPr="005715B7">
        <w:rPr>
          <w:rFonts w:eastAsia="Calibri"/>
          <w:b/>
          <w:color w:val="151515"/>
          <w:highlight w:val="white"/>
        </w:rPr>
        <w:t xml:space="preserve"> 1 stycznia 2030 r.</w:t>
      </w:r>
    </w:p>
    <w:p w14:paraId="00000010" w14:textId="77777777" w:rsidR="003A1DB2" w:rsidRPr="005715B7" w:rsidRDefault="003A1DB2">
      <w:pPr>
        <w:jc w:val="both"/>
        <w:rPr>
          <w:rFonts w:eastAsia="Calibri"/>
          <w:color w:val="151515"/>
          <w:highlight w:val="white"/>
        </w:rPr>
      </w:pPr>
    </w:p>
    <w:p w14:paraId="00000011" w14:textId="77777777" w:rsidR="003A1DB2" w:rsidRPr="005715B7" w:rsidRDefault="00000000">
      <w:pPr>
        <w:jc w:val="both"/>
        <w:rPr>
          <w:rFonts w:eastAsia="Calibri"/>
          <w:color w:val="151515"/>
        </w:rPr>
      </w:pPr>
      <w:r w:rsidRPr="005715B7">
        <w:rPr>
          <w:rFonts w:eastAsia="Calibri"/>
          <w:color w:val="151515"/>
          <w:highlight w:val="white"/>
        </w:rPr>
        <w:t xml:space="preserve">Pamiętajmy, że </w:t>
      </w:r>
      <w:r w:rsidRPr="005715B7">
        <w:rPr>
          <w:rFonts w:eastAsia="Calibri"/>
          <w:b/>
          <w:color w:val="151515"/>
          <w:highlight w:val="white"/>
        </w:rPr>
        <w:t>dyrektywa MCP zakłada też system obowiązkowej rejestracji</w:t>
      </w:r>
      <w:r w:rsidRPr="005715B7">
        <w:rPr>
          <w:rFonts w:eastAsia="Calibri"/>
          <w:color w:val="151515"/>
          <w:highlight w:val="white"/>
        </w:rPr>
        <w:t>:</w:t>
      </w:r>
    </w:p>
    <w:p w14:paraId="00000012" w14:textId="77777777" w:rsidR="003A1DB2" w:rsidRPr="005715B7" w:rsidRDefault="00000000">
      <w:pPr>
        <w:numPr>
          <w:ilvl w:val="0"/>
          <w:numId w:val="1"/>
        </w:numPr>
        <w:pBdr>
          <w:top w:val="nil"/>
          <w:left w:val="nil"/>
          <w:bottom w:val="nil"/>
          <w:right w:val="nil"/>
          <w:between w:val="nil"/>
        </w:pBdr>
        <w:jc w:val="both"/>
        <w:rPr>
          <w:rFonts w:eastAsia="Calibri"/>
          <w:color w:val="151515"/>
          <w:highlight w:val="white"/>
        </w:rPr>
      </w:pPr>
      <w:r w:rsidRPr="005715B7">
        <w:rPr>
          <w:rFonts w:eastAsia="Calibri"/>
          <w:color w:val="000000"/>
        </w:rPr>
        <w:t>obiekty nowe (czyli oddane do użytkowania po 20 grudnia 2018 r.) – rejestrowane są od dnia przekazania do użytkowania,</w:t>
      </w:r>
    </w:p>
    <w:p w14:paraId="00000013" w14:textId="77777777" w:rsidR="003A1DB2" w:rsidRPr="005715B7" w:rsidRDefault="00000000">
      <w:pPr>
        <w:numPr>
          <w:ilvl w:val="0"/>
          <w:numId w:val="1"/>
        </w:numPr>
        <w:pBdr>
          <w:top w:val="nil"/>
          <w:left w:val="nil"/>
          <w:bottom w:val="nil"/>
          <w:right w:val="nil"/>
          <w:between w:val="nil"/>
        </w:pBdr>
        <w:jc w:val="both"/>
        <w:rPr>
          <w:rFonts w:eastAsia="Calibri"/>
          <w:color w:val="151515"/>
          <w:highlight w:val="white"/>
        </w:rPr>
      </w:pPr>
      <w:r w:rsidRPr="005715B7">
        <w:rPr>
          <w:rFonts w:eastAsia="Calibri"/>
          <w:color w:val="000000"/>
        </w:rPr>
        <w:t>obiekty istniejące o nominalnej mocy cieplnej większej niż 5 MW – od 1 stycznia 2024 r.,</w:t>
      </w:r>
    </w:p>
    <w:p w14:paraId="00000014" w14:textId="77777777" w:rsidR="003A1DB2" w:rsidRPr="005715B7" w:rsidRDefault="00000000">
      <w:pPr>
        <w:numPr>
          <w:ilvl w:val="0"/>
          <w:numId w:val="1"/>
        </w:numPr>
        <w:pBdr>
          <w:top w:val="nil"/>
          <w:left w:val="nil"/>
          <w:bottom w:val="nil"/>
          <w:right w:val="nil"/>
          <w:between w:val="nil"/>
        </w:pBdr>
        <w:jc w:val="both"/>
        <w:rPr>
          <w:rFonts w:eastAsia="Calibri"/>
          <w:color w:val="151515"/>
          <w:highlight w:val="white"/>
        </w:rPr>
      </w:pPr>
      <w:r w:rsidRPr="005715B7">
        <w:rPr>
          <w:rFonts w:eastAsia="Calibri"/>
          <w:color w:val="000000"/>
        </w:rPr>
        <w:lastRenderedPageBreak/>
        <w:t>obiekty istniejące o nominalnej mocy cieplnej nie większej niż 5 MW – od 1 stycznia 2029 r.</w:t>
      </w:r>
    </w:p>
    <w:p w14:paraId="00000015" w14:textId="77777777" w:rsidR="003A1DB2" w:rsidRPr="005715B7" w:rsidRDefault="003A1DB2">
      <w:pPr>
        <w:jc w:val="both"/>
        <w:rPr>
          <w:rFonts w:eastAsia="Calibri"/>
          <w:color w:val="151515"/>
          <w:highlight w:val="white"/>
        </w:rPr>
      </w:pPr>
    </w:p>
    <w:p w14:paraId="00000016" w14:textId="77777777" w:rsidR="003A1DB2" w:rsidRPr="005715B7" w:rsidRDefault="00000000">
      <w:pPr>
        <w:jc w:val="both"/>
        <w:rPr>
          <w:rFonts w:eastAsia="Calibri"/>
        </w:rPr>
      </w:pPr>
      <w:r w:rsidRPr="005715B7">
        <w:rPr>
          <w:rFonts w:eastAsia="Calibri"/>
          <w:b/>
        </w:rPr>
        <w:t>Czego jeszcze możemy spodziewać się po dyrektywie MCP?</w:t>
      </w:r>
    </w:p>
    <w:p w14:paraId="00000017" w14:textId="77777777" w:rsidR="003A1DB2" w:rsidRPr="005715B7" w:rsidRDefault="003A1DB2">
      <w:pPr>
        <w:jc w:val="both"/>
        <w:rPr>
          <w:rFonts w:eastAsia="Calibri"/>
        </w:rPr>
      </w:pPr>
    </w:p>
    <w:p w14:paraId="00000018" w14:textId="77777777" w:rsidR="003A1DB2" w:rsidRPr="005715B7" w:rsidRDefault="00000000">
      <w:pPr>
        <w:jc w:val="both"/>
        <w:rPr>
          <w:rFonts w:eastAsia="Calibri"/>
        </w:rPr>
      </w:pPr>
      <w:r w:rsidRPr="005715B7">
        <w:rPr>
          <w:rFonts w:eastAsia="Calibri"/>
        </w:rPr>
        <w:t xml:space="preserve">– </w:t>
      </w:r>
      <w:r w:rsidRPr="005715B7">
        <w:rPr>
          <w:rFonts w:eastAsia="Calibri"/>
          <w:i/>
        </w:rPr>
        <w:t xml:space="preserve">Wiele mówi się o limitach i karach wynikających z dyrektywy MCP. Ale to dużo więcej. </w:t>
      </w:r>
      <w:r w:rsidRPr="005715B7">
        <w:rPr>
          <w:rFonts w:eastAsia="Calibri"/>
          <w:b/>
          <w:i/>
        </w:rPr>
        <w:t>To kompleksowy system uzyskiwania pozwoleń, rozbudowanej kontroli, mechanizmów sprawozdawczych.</w:t>
      </w:r>
      <w:r w:rsidRPr="005715B7">
        <w:rPr>
          <w:rFonts w:eastAsia="Calibri"/>
          <w:i/>
        </w:rPr>
        <w:t xml:space="preserve"> Dokument obejmuje m.in. wymóg dla operatorów obiektów monitorowania emisji, sygnalizowania wszelkich nieprawidłowości, podejmowania konkretnych działań. Dyrektywa przewiduje powołanie na poziomie krajowym systemu inspekcji środowiskowych dla MCP lub innych rozwiązań kontrolujących. Mowa też o tym, aby w rejonach, w których jakość powietrza nie spełnia wyznaczonych standardów, stosować nawet surowsze limity</w:t>
      </w:r>
      <w:r w:rsidRPr="005715B7">
        <w:rPr>
          <w:rFonts w:eastAsia="Calibri"/>
        </w:rPr>
        <w:t xml:space="preserve"> – komentuje Łukasz Byczkowski.</w:t>
      </w:r>
    </w:p>
    <w:p w14:paraId="00000019" w14:textId="77777777" w:rsidR="003A1DB2" w:rsidRPr="005715B7" w:rsidRDefault="003A1DB2">
      <w:pPr>
        <w:jc w:val="both"/>
        <w:rPr>
          <w:rFonts w:eastAsia="Calibri"/>
        </w:rPr>
      </w:pPr>
    </w:p>
    <w:p w14:paraId="0000001A" w14:textId="77777777" w:rsidR="003A1DB2" w:rsidRPr="005715B7" w:rsidRDefault="00000000">
      <w:pPr>
        <w:jc w:val="both"/>
        <w:rPr>
          <w:rFonts w:eastAsia="Calibri"/>
          <w:b/>
        </w:rPr>
      </w:pPr>
      <w:r w:rsidRPr="005715B7">
        <w:rPr>
          <w:rFonts w:eastAsia="Calibri"/>
          <w:b/>
        </w:rPr>
        <w:t>Kto emituje, ten płaci</w:t>
      </w:r>
    </w:p>
    <w:p w14:paraId="0000001B" w14:textId="77777777" w:rsidR="003A1DB2" w:rsidRPr="005715B7" w:rsidRDefault="003A1DB2">
      <w:pPr>
        <w:jc w:val="both"/>
        <w:rPr>
          <w:rFonts w:eastAsia="Calibri"/>
          <w:b/>
        </w:rPr>
      </w:pPr>
    </w:p>
    <w:p w14:paraId="0000001C" w14:textId="77777777" w:rsidR="003A1DB2" w:rsidRPr="005715B7" w:rsidRDefault="00000000">
      <w:pPr>
        <w:jc w:val="both"/>
        <w:rPr>
          <w:rFonts w:eastAsia="Calibri"/>
        </w:rPr>
      </w:pPr>
      <w:r w:rsidRPr="005715B7">
        <w:rPr>
          <w:rFonts w:eastAsia="Calibri"/>
        </w:rPr>
        <w:t xml:space="preserve">Tak można by w skrócie podsumować unijne dążenia. Dyrektywa MCP jest tylko przystankiem na drodze do dekarbonizacji całej Wspólnoty. Co prawda z polskiej perspektywy to aktualnie jedno z największych wyzwań stojących przed ciepłownictwem i firmami wykorzystującymi węgiel do spalania, jednak </w:t>
      </w:r>
      <w:r w:rsidRPr="005715B7">
        <w:rPr>
          <w:rFonts w:eastAsia="Calibri"/>
          <w:b/>
        </w:rPr>
        <w:t>dyrektywa powinna uruchomić w nas myślenie perspektywiczne</w:t>
      </w:r>
      <w:r w:rsidRPr="005715B7">
        <w:rPr>
          <w:rFonts w:eastAsia="Calibri"/>
        </w:rPr>
        <w:t xml:space="preserve">. </w:t>
      </w:r>
    </w:p>
    <w:p w14:paraId="0000001D" w14:textId="77777777" w:rsidR="003A1DB2" w:rsidRPr="005715B7" w:rsidRDefault="003A1DB2">
      <w:pPr>
        <w:jc w:val="both"/>
        <w:rPr>
          <w:rFonts w:eastAsia="Calibri"/>
        </w:rPr>
      </w:pPr>
    </w:p>
    <w:p w14:paraId="0000001E" w14:textId="77777777" w:rsidR="003A1DB2" w:rsidRPr="005715B7" w:rsidRDefault="00000000">
      <w:pPr>
        <w:jc w:val="both"/>
        <w:rPr>
          <w:rFonts w:eastAsia="Calibri"/>
          <w:b/>
        </w:rPr>
      </w:pPr>
      <w:r w:rsidRPr="005715B7">
        <w:rPr>
          <w:rFonts w:eastAsia="Calibri"/>
        </w:rPr>
        <w:t>Choćby dlatego, że ceny uprawnień do emisji CO</w:t>
      </w:r>
      <w:r w:rsidRPr="005715B7">
        <w:rPr>
          <w:rFonts w:eastAsia="Calibri"/>
          <w:vertAlign w:val="subscript"/>
        </w:rPr>
        <w:t>2</w:t>
      </w:r>
      <w:r w:rsidRPr="005715B7">
        <w:rPr>
          <w:rFonts w:eastAsia="Calibri"/>
        </w:rPr>
        <w:t xml:space="preserve"> w ramach systemu EU ETS będą rosły. Luty tego roku przeszedł do historii z rekordowym 100 euro za tonę. Co więcej, uprawnienia do emisji w ramach systemu EU ETS nie będą dostępne w nieskończoność… Podniesienie przez UE celu redukcyjnego oznacza, że </w:t>
      </w:r>
      <w:r w:rsidRPr="005715B7">
        <w:rPr>
          <w:rFonts w:eastAsia="Calibri"/>
          <w:b/>
        </w:rPr>
        <w:t>bezpłatny przydział uprawnień może zakończyć się już w 2040 r.</w:t>
      </w:r>
    </w:p>
    <w:p w14:paraId="0000001F" w14:textId="77777777" w:rsidR="003A1DB2" w:rsidRPr="005715B7" w:rsidRDefault="003A1DB2">
      <w:pPr>
        <w:jc w:val="both"/>
        <w:rPr>
          <w:rFonts w:eastAsia="Calibri"/>
        </w:rPr>
      </w:pPr>
    </w:p>
    <w:p w14:paraId="00000020" w14:textId="77777777" w:rsidR="003A1DB2" w:rsidRPr="005715B7" w:rsidRDefault="00000000">
      <w:pPr>
        <w:jc w:val="both"/>
        <w:rPr>
          <w:rFonts w:eastAsia="Calibri"/>
        </w:rPr>
      </w:pPr>
      <w:r w:rsidRPr="005715B7">
        <w:rPr>
          <w:rFonts w:eastAsia="Calibri"/>
        </w:rPr>
        <w:t xml:space="preserve">Dyrektywa MCP jest częścią dużo większego pakietu „Czyste powietrze” z 2013 r., który wpisuje się w kierunek polityki Europejskiego Zielonego Ładu i założeń pakietu Fit for 55. </w:t>
      </w:r>
    </w:p>
    <w:p w14:paraId="00000021" w14:textId="77777777" w:rsidR="003A1DB2" w:rsidRPr="005715B7" w:rsidRDefault="003A1DB2">
      <w:pPr>
        <w:jc w:val="both"/>
        <w:rPr>
          <w:rFonts w:eastAsia="Calibri"/>
        </w:rPr>
      </w:pPr>
    </w:p>
    <w:p w14:paraId="00000022" w14:textId="77777777" w:rsidR="003A1DB2" w:rsidRPr="005715B7" w:rsidRDefault="00000000">
      <w:pPr>
        <w:jc w:val="both"/>
        <w:rPr>
          <w:rFonts w:eastAsia="Calibri"/>
        </w:rPr>
      </w:pPr>
      <w:r w:rsidRPr="005715B7">
        <w:rPr>
          <w:rFonts w:eastAsia="Calibri"/>
        </w:rPr>
        <w:t>Więcej informacji o samej dyrektywie MCP znajdziesz na:</w:t>
      </w:r>
    </w:p>
    <w:p w14:paraId="00000023" w14:textId="77777777" w:rsidR="003A1DB2" w:rsidRDefault="00000000">
      <w:pPr>
        <w:jc w:val="both"/>
        <w:rPr>
          <w:rFonts w:eastAsia="Calibri"/>
          <w:sz w:val="24"/>
          <w:szCs w:val="24"/>
        </w:rPr>
      </w:pPr>
      <w:hyperlink r:id="rId8">
        <w:r w:rsidRPr="005715B7">
          <w:rPr>
            <w:rFonts w:eastAsia="Calibri"/>
            <w:color w:val="0000FF"/>
            <w:u w:val="single"/>
          </w:rPr>
          <w:t>https://duon.pl/lepiejnagaz/dyrektywa-mcp-zostalo-15-roku-czas-na-dzialanie/</w:t>
        </w:r>
      </w:hyperlink>
      <w:r w:rsidRPr="005715B7">
        <w:rPr>
          <w:rFonts w:eastAsia="Calibri"/>
          <w:sz w:val="24"/>
          <w:szCs w:val="24"/>
        </w:rPr>
        <w:t xml:space="preserve"> </w:t>
      </w:r>
    </w:p>
    <w:p w14:paraId="65BB7E4B" w14:textId="77777777" w:rsidR="005715B7" w:rsidRDefault="005715B7">
      <w:pPr>
        <w:jc w:val="both"/>
        <w:rPr>
          <w:rFonts w:eastAsia="Calibri"/>
          <w:sz w:val="24"/>
          <w:szCs w:val="24"/>
        </w:rPr>
      </w:pPr>
    </w:p>
    <w:p w14:paraId="584A9A90" w14:textId="77777777" w:rsidR="005715B7" w:rsidRPr="005715B7" w:rsidRDefault="005715B7">
      <w:pPr>
        <w:jc w:val="both"/>
        <w:rPr>
          <w:rFonts w:eastAsia="Calibri"/>
          <w:sz w:val="24"/>
          <w:szCs w:val="24"/>
        </w:rPr>
      </w:pPr>
    </w:p>
    <w:p w14:paraId="54CF3896" w14:textId="77777777" w:rsidR="005715B7" w:rsidRDefault="005715B7">
      <w:pPr>
        <w:jc w:val="both"/>
        <w:rPr>
          <w:rFonts w:eastAsia="Calibri"/>
          <w:sz w:val="24"/>
          <w:szCs w:val="24"/>
        </w:rPr>
      </w:pPr>
    </w:p>
    <w:p w14:paraId="3DBB84E7" w14:textId="77777777" w:rsidR="00C511A4" w:rsidRDefault="00C511A4">
      <w:pPr>
        <w:jc w:val="both"/>
        <w:rPr>
          <w:rFonts w:eastAsia="Calibri"/>
          <w:sz w:val="24"/>
          <w:szCs w:val="24"/>
        </w:rPr>
      </w:pPr>
    </w:p>
    <w:p w14:paraId="694B3F78" w14:textId="77777777" w:rsidR="00C511A4" w:rsidRPr="005715B7" w:rsidRDefault="00C511A4">
      <w:pPr>
        <w:jc w:val="both"/>
        <w:rPr>
          <w:rFonts w:eastAsia="Calibri"/>
          <w:sz w:val="24"/>
          <w:szCs w:val="24"/>
        </w:rPr>
      </w:pPr>
    </w:p>
    <w:p w14:paraId="3B446148" w14:textId="77777777" w:rsidR="005715B7" w:rsidRPr="005715B7" w:rsidRDefault="005715B7" w:rsidP="005715B7">
      <w:pPr>
        <w:spacing w:line="240" w:lineRule="auto"/>
        <w:jc w:val="right"/>
        <w:rPr>
          <w:b/>
          <w:sz w:val="18"/>
          <w:szCs w:val="18"/>
        </w:rPr>
      </w:pPr>
      <w:r w:rsidRPr="005715B7">
        <w:rPr>
          <w:b/>
          <w:sz w:val="18"/>
          <w:szCs w:val="18"/>
        </w:rPr>
        <w:t>Kontakt dla mediów:</w:t>
      </w:r>
    </w:p>
    <w:p w14:paraId="4954E4E4" w14:textId="77777777" w:rsidR="005715B7" w:rsidRPr="005715B7" w:rsidRDefault="005715B7" w:rsidP="005715B7">
      <w:pPr>
        <w:spacing w:line="240" w:lineRule="auto"/>
        <w:jc w:val="right"/>
        <w:rPr>
          <w:sz w:val="18"/>
          <w:szCs w:val="18"/>
        </w:rPr>
      </w:pPr>
      <w:r w:rsidRPr="005715B7">
        <w:rPr>
          <w:sz w:val="18"/>
          <w:szCs w:val="18"/>
        </w:rPr>
        <w:t xml:space="preserve">Aleksandra Wróbel </w:t>
      </w:r>
    </w:p>
    <w:p w14:paraId="58DDE195" w14:textId="77777777" w:rsidR="005715B7" w:rsidRPr="005715B7" w:rsidRDefault="005715B7" w:rsidP="005715B7">
      <w:pPr>
        <w:spacing w:line="240" w:lineRule="auto"/>
        <w:jc w:val="right"/>
        <w:rPr>
          <w:sz w:val="18"/>
          <w:szCs w:val="18"/>
        </w:rPr>
      </w:pPr>
      <w:r w:rsidRPr="005715B7">
        <w:rPr>
          <w:sz w:val="18"/>
          <w:szCs w:val="18"/>
        </w:rPr>
        <w:t>Project Manager</w:t>
      </w:r>
    </w:p>
    <w:p w14:paraId="5323FA67" w14:textId="77777777" w:rsidR="005715B7" w:rsidRPr="005715B7" w:rsidRDefault="005715B7" w:rsidP="005715B7">
      <w:pPr>
        <w:spacing w:line="240" w:lineRule="auto"/>
        <w:jc w:val="right"/>
        <w:rPr>
          <w:color w:val="1155CC"/>
          <w:sz w:val="18"/>
          <w:szCs w:val="18"/>
        </w:rPr>
      </w:pPr>
      <w:r w:rsidRPr="005715B7">
        <w:rPr>
          <w:color w:val="1155CC"/>
          <w:sz w:val="18"/>
          <w:szCs w:val="18"/>
        </w:rPr>
        <w:t>aleksandra.wrobel@dotrelations.pl</w:t>
      </w:r>
    </w:p>
    <w:p w14:paraId="0FC2B271" w14:textId="553C60B5" w:rsidR="005715B7" w:rsidRPr="005715B7" w:rsidRDefault="005715B7" w:rsidP="005715B7">
      <w:pPr>
        <w:spacing w:line="240" w:lineRule="auto"/>
        <w:jc w:val="right"/>
        <w:rPr>
          <w:b/>
          <w:sz w:val="18"/>
          <w:szCs w:val="18"/>
        </w:rPr>
      </w:pPr>
      <w:r w:rsidRPr="005715B7">
        <w:rPr>
          <w:sz w:val="18"/>
          <w:szCs w:val="18"/>
        </w:rPr>
        <w:t>tel. +48 690 995 411</w:t>
      </w:r>
    </w:p>
    <w:sectPr w:rsidR="005715B7" w:rsidRPr="005715B7">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6E9C" w14:textId="77777777" w:rsidR="00D94F69" w:rsidRDefault="00D94F69" w:rsidP="005715B7">
      <w:pPr>
        <w:spacing w:line="240" w:lineRule="auto"/>
      </w:pPr>
      <w:r>
        <w:separator/>
      </w:r>
    </w:p>
  </w:endnote>
  <w:endnote w:type="continuationSeparator" w:id="0">
    <w:p w14:paraId="11043466" w14:textId="77777777" w:rsidR="00D94F69" w:rsidRDefault="00D94F69" w:rsidP="00571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7F10" w14:textId="77777777" w:rsidR="00D94F69" w:rsidRDefault="00D94F69" w:rsidP="005715B7">
      <w:pPr>
        <w:spacing w:line="240" w:lineRule="auto"/>
      </w:pPr>
      <w:r>
        <w:separator/>
      </w:r>
    </w:p>
  </w:footnote>
  <w:footnote w:type="continuationSeparator" w:id="0">
    <w:p w14:paraId="0126BDFC" w14:textId="77777777" w:rsidR="00D94F69" w:rsidRDefault="00D94F69" w:rsidP="00571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ABCC" w14:textId="7C81F75E" w:rsidR="005715B7" w:rsidRPr="005715B7" w:rsidRDefault="00000000" w:rsidP="005715B7">
    <w:pPr>
      <w:pStyle w:val="Nagwek"/>
    </w:pPr>
    <w:r>
      <w:rPr>
        <w:noProof/>
      </w:rPr>
      <w:pict w14:anchorId="1DBD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62095" o:spid="_x0000_s1025" type="#_x0000_t75" style="position:absolute;margin-left:0;margin-top:0;width:595.45pt;height:841.9pt;z-index:-251658752;mso-position-horizontal:center;mso-position-horizontal-relative:margin;mso-position-vertical:center;mso-position-vertical-relative:margin" o:allowincell="f">
          <v:imagedata r:id="rId1" o:title="Bez nazwy-1_Obszar roboczy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4C71"/>
    <w:multiLevelType w:val="multilevel"/>
    <w:tmpl w:val="7A2C5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434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B2"/>
    <w:rsid w:val="003A1DB2"/>
    <w:rsid w:val="005715B7"/>
    <w:rsid w:val="008542E1"/>
    <w:rsid w:val="0087592C"/>
    <w:rsid w:val="00B5790D"/>
    <w:rsid w:val="00C511A4"/>
    <w:rsid w:val="00D94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7824"/>
  <w15:docId w15:val="{974EFA4A-DF75-4AD3-8F98-AF5CCECB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F19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944"/>
    <w:rPr>
      <w:rFonts w:ascii="Segoe UI" w:hAnsi="Segoe UI" w:cs="Segoe UI"/>
      <w:sz w:val="18"/>
      <w:szCs w:val="18"/>
    </w:rPr>
  </w:style>
  <w:style w:type="paragraph" w:styleId="Akapitzlist">
    <w:name w:val="List Paragraph"/>
    <w:basedOn w:val="Normalny"/>
    <w:uiPriority w:val="34"/>
    <w:qFormat/>
    <w:rsid w:val="00A92487"/>
    <w:pPr>
      <w:ind w:left="720"/>
      <w:contextualSpacing/>
    </w:pPr>
  </w:style>
  <w:style w:type="character" w:styleId="Hipercze">
    <w:name w:val="Hyperlink"/>
    <w:basedOn w:val="Domylnaczcionkaakapitu"/>
    <w:uiPriority w:val="99"/>
    <w:unhideWhenUsed/>
    <w:rsid w:val="00855E98"/>
    <w:rPr>
      <w:color w:val="0000FF" w:themeColor="hyperlink"/>
      <w:u w:val="single"/>
    </w:rPr>
  </w:style>
  <w:style w:type="paragraph" w:styleId="Nagwek">
    <w:name w:val="header"/>
    <w:basedOn w:val="Normalny"/>
    <w:link w:val="NagwekZnak"/>
    <w:uiPriority w:val="99"/>
    <w:unhideWhenUsed/>
    <w:rsid w:val="005715B7"/>
    <w:pPr>
      <w:tabs>
        <w:tab w:val="center" w:pos="4536"/>
        <w:tab w:val="right" w:pos="9072"/>
      </w:tabs>
      <w:spacing w:line="240" w:lineRule="auto"/>
    </w:pPr>
  </w:style>
  <w:style w:type="character" w:customStyle="1" w:styleId="NagwekZnak">
    <w:name w:val="Nagłówek Znak"/>
    <w:basedOn w:val="Domylnaczcionkaakapitu"/>
    <w:link w:val="Nagwek"/>
    <w:uiPriority w:val="99"/>
    <w:rsid w:val="005715B7"/>
  </w:style>
  <w:style w:type="paragraph" w:styleId="Stopka">
    <w:name w:val="footer"/>
    <w:basedOn w:val="Normalny"/>
    <w:link w:val="StopkaZnak"/>
    <w:uiPriority w:val="99"/>
    <w:unhideWhenUsed/>
    <w:rsid w:val="005715B7"/>
    <w:pPr>
      <w:tabs>
        <w:tab w:val="center" w:pos="4536"/>
        <w:tab w:val="right" w:pos="9072"/>
      </w:tabs>
      <w:spacing w:line="240" w:lineRule="auto"/>
    </w:pPr>
  </w:style>
  <w:style w:type="character" w:customStyle="1" w:styleId="StopkaZnak">
    <w:name w:val="Stopka Znak"/>
    <w:basedOn w:val="Domylnaczcionkaakapitu"/>
    <w:link w:val="Stopka"/>
    <w:uiPriority w:val="99"/>
    <w:rsid w:val="0057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uon.pl/lepiejnagaz/dyrektywa-mcp-zostalo-15-roku-czas-na-dzial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m4IZvuFTrNBT8cbvL6IEHLrlw==">CgMxLjAyCGguZ2pkZ3hzOABqKgoUc3VnZ2VzdC5qNmR1ZTdkaWdiOGISEsWBdWthc3ogQnljemtvd3NraWoqChRzdWdnZXN0LmpoOHNyN2t5YnZqdhISxYF1a2FzeiBCeWN6a293c2tpaioKFHN1Z2dlc3QucXM1bzdyemhraXNpEhLFgXVrYXN6IEJ5Y3prb3dza2lqKgoUc3VnZ2VzdC5jdWhud3U3ZWkyMTMSEsWBdWthc3ogQnljemtvd3NraXIhMWVfYUtpWVl4TGJTaHRoNTFNOWtaODVCaGNJT0dWVF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Zuzanna Kowalewska</cp:lastModifiedBy>
  <cp:revision>4</cp:revision>
  <dcterms:created xsi:type="dcterms:W3CDTF">2023-06-07T22:40:00Z</dcterms:created>
  <dcterms:modified xsi:type="dcterms:W3CDTF">2023-06-22T10:05:00Z</dcterms:modified>
</cp:coreProperties>
</file>